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关于开展</w:t>
      </w:r>
      <w:r>
        <w:rPr>
          <w:rFonts w:hint="eastAsia"/>
          <w:b/>
          <w:sz w:val="36"/>
          <w:szCs w:val="36"/>
          <w:lang w:val="en-US" w:eastAsia="zh-CN"/>
        </w:rPr>
        <w:t>2022</w:t>
      </w:r>
      <w:r>
        <w:rPr>
          <w:rFonts w:hint="eastAsia"/>
          <w:b/>
          <w:sz w:val="36"/>
          <w:szCs w:val="36"/>
        </w:rPr>
        <w:t>年度内蒙古拍卖企业信用等级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  <w:sz w:val="36"/>
          <w:szCs w:val="36"/>
        </w:rPr>
        <w:t>评定工作的通知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pStyle w:val="9"/>
        <w:ind w:left="420" w:firstLine="560" w:firstLineChars="200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根据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内蒙古</w:t>
      </w:r>
      <w:r>
        <w:rPr>
          <w:rFonts w:hint="eastAsia" w:ascii="宋体" w:hAnsi="宋体"/>
          <w:b w:val="0"/>
          <w:bCs w:val="0"/>
          <w:sz w:val="28"/>
          <w:szCs w:val="28"/>
        </w:rPr>
        <w:t>拍卖行业协会关于拍卖企业信用等级评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定</w:t>
      </w:r>
      <w:r>
        <w:rPr>
          <w:rFonts w:hint="eastAsia" w:ascii="宋体" w:hAnsi="宋体"/>
          <w:b w:val="0"/>
          <w:bCs w:val="0"/>
          <w:sz w:val="28"/>
          <w:szCs w:val="28"/>
        </w:rPr>
        <w:t>管理的有关规定，</w:t>
      </w:r>
      <w:r>
        <w:rPr>
          <w:rFonts w:hint="eastAsia" w:ascii="宋体" w:hAnsi="宋体" w:eastAsia="宋体" w:cs="宋体"/>
          <w:sz w:val="28"/>
          <w:szCs w:val="28"/>
        </w:rPr>
        <w:t>结合拍卖协会年度工作安排，</w:t>
      </w:r>
      <w:r>
        <w:rPr>
          <w:rFonts w:hint="eastAsia" w:ascii="宋体" w:hAnsi="宋体"/>
          <w:b w:val="0"/>
          <w:bCs w:val="0"/>
          <w:sz w:val="28"/>
          <w:szCs w:val="28"/>
        </w:rPr>
        <w:t>现将</w:t>
      </w:r>
      <w:r>
        <w:rPr>
          <w:rFonts w:hint="default" w:ascii="宋体" w:hAnsi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8"/>
          <w:szCs w:val="28"/>
        </w:rPr>
        <w:t>年拍卖企业等级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评定</w:t>
      </w:r>
      <w:r>
        <w:rPr>
          <w:rFonts w:hint="eastAsia" w:ascii="宋体" w:hAnsi="宋体"/>
          <w:b w:val="0"/>
          <w:bCs w:val="0"/>
          <w:sz w:val="28"/>
          <w:szCs w:val="28"/>
        </w:rPr>
        <w:t>工作相关安排通知如下：</w:t>
      </w:r>
    </w:p>
    <w:p>
      <w:pPr>
        <w:numPr>
          <w:ilvl w:val="0"/>
          <w:numId w:val="1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申报条件</w:t>
      </w:r>
    </w:p>
    <w:p>
      <w:pPr>
        <w:pStyle w:val="9"/>
        <w:ind w:left="420" w:firstLine="0" w:firstLineChars="0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具有以下情形之一的企业不具备信用等级参评资格</w:t>
      </w:r>
    </w:p>
    <w:p>
      <w:pPr>
        <w:pStyle w:val="9"/>
        <w:ind w:left="420" w:firstLine="420" w:firstLineChars="150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1、主体资格不符合《拍卖法》、《公司法》规定条件；</w:t>
      </w:r>
    </w:p>
    <w:p>
      <w:pPr>
        <w:pStyle w:val="9"/>
        <w:ind w:left="420" w:firstLine="420" w:firstLineChars="150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2、企业或法人有刑事犯罪记录；</w:t>
      </w:r>
    </w:p>
    <w:p>
      <w:pPr>
        <w:pStyle w:val="9"/>
        <w:ind w:left="420" w:firstLine="420" w:firstLineChars="150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3、企业或法人被列入人民法院失信名单；</w:t>
      </w:r>
    </w:p>
    <w:p>
      <w:pPr>
        <w:pStyle w:val="9"/>
        <w:ind w:left="420" w:firstLine="420" w:firstLineChars="150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4、成立时间不满两年的公司；</w:t>
      </w:r>
    </w:p>
    <w:p>
      <w:pPr>
        <w:ind w:firstLine="557" w:firstLineChars="198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原则</w:t>
      </w:r>
    </w:p>
    <w:p>
      <w:pPr>
        <w:ind w:firstLine="700" w:firstLine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（一）坚持自愿参加。</w:t>
      </w:r>
    </w:p>
    <w:p>
      <w:pPr>
        <w:ind w:firstLine="700" w:firstLine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（二）坚持免费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700" w:firstLine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（三）坚持严格的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标准。</w:t>
      </w:r>
    </w:p>
    <w:p>
      <w:pPr>
        <w:ind w:firstLine="700" w:firstLine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（四）坚持现场核查。特别是对达到AA—AAAAA级信用等级的候选拍卖企业，内蒙古拍协将配合财务审计单位进行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现场核查。</w:t>
      </w:r>
    </w:p>
    <w:p>
      <w:pPr>
        <w:ind w:firstLine="700" w:firstLineChars="2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（五）坚持为参评企业保密。对参评企业的申评资格和申报材料进行严格保密。</w:t>
      </w:r>
    </w:p>
    <w:p>
      <w:pPr>
        <w:ind w:firstLine="557" w:firstLineChars="198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三、工作程序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（一）企业申报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申报目录见附件）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1、所有资料如不能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原件，请提供复印件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加盖公章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邮寄给协会秘书处；</w:t>
      </w:r>
    </w:p>
    <w:p>
      <w:pPr>
        <w:tabs>
          <w:tab w:val="center" w:pos="4873"/>
        </w:tabs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2、收件截止时间至2022年10月15日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3、邮寄地址：呼和浩特市赛罕区汇商广场B1座7051，内蒙古拍卖行业协会 宋冠楠18636247506；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4、请企业一并准备好原件，以便信用等级评定小组或者第三方评审机构进行实地现场抽查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（二）评分；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由内蒙古拍协信用等级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小组或者聘请第三方评审机构根据企业申报材料进行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（三）核查；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由内蒙古拍协等级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小组对拟评AA—AAAAA级企业进行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现场核查；被核查企业由内拍协随机抽取。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（四）确定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结果；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内蒙古拍协根据反馈意见及核查的情况确定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结果。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（五）公示</w:t>
      </w:r>
    </w:p>
    <w:p>
      <w:pPr>
        <w:ind w:firstLine="859" w:firstLineChars="30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会在相关平面和网络媒体、内蒙古拍卖行业协会网站及公众号上，将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结果进行公示。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）将结果送达至各相关机构和部门。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四、评定办法和申报条件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根据行业实际，对本次新申报参加评定的企业，采用“初评”办法，企业按照“初评”要求报送申报材料，评定委员会安排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现场核查、评审。主要对企业在20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年度两年中相关内容的各项指标进行考评，并以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年度有关指标作为参考。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五、有关情况说明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（一）本次信用等级的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为：A级、AA级、AAA级、AAAA级、AAAAA级。A数越多，信用等级越高，最高五级。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内蒙古拍卖企业信用等级评定申报及评分标准表附后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（二）凡获得内蒙古信用等级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级别的企业，内蒙古拍卖行业协会将按照程序上报；同时，将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结果报送自治区内各级政府和内蒙古商务厅、内蒙古工商局及内蒙古自治区公共资源交易平台。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附件：  一、申报材料目录</w:t>
      </w:r>
    </w:p>
    <w:p>
      <w:pPr>
        <w:ind w:firstLine="1124" w:firstLineChars="40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二、承诺书</w:t>
      </w:r>
    </w:p>
    <w:p>
      <w:pPr>
        <w:ind w:firstLine="1124" w:firstLineChars="40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三、2022年内蒙古拍卖企业信用等级评定申报表</w:t>
      </w:r>
    </w:p>
    <w:p>
      <w:pPr>
        <w:ind w:firstLine="1124" w:firstLineChars="40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四、内蒙古拍卖企业信用等级评定申报及评分标准表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435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right="560" w:firstLine="3360" w:firstLineChars="12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内蒙古拍卖行业协会</w:t>
      </w:r>
    </w:p>
    <w:p>
      <w:pPr>
        <w:ind w:right="560" w:firstLine="3360" w:firstLineChars="120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14日</w:t>
      </w:r>
    </w:p>
    <w:p>
      <w:pPr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ind w:firstLine="843" w:firstLineChars="300"/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both"/>
        <w:rPr>
          <w:rFonts w:hint="eastAsia" w:ascii="宋体" w:hAnsi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：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申报材料目录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《承诺书》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申请报告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》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《20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年内蒙古拍卖企业信用等级评定申报表》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《20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年内蒙古拍卖企业信用等级评定自评表》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企业营业执照、拍卖经营批准证书复印件（加盖公章）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年《资产负债表》、《损益表》复印件（加盖公章）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企业房产租赁合同或房产证明复印件（加盖公章）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企业主要资质证明复印件（加盖公章）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国家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企业信用信息公示系统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"http://nm.gsxt.gov.cn/index.html"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</w:rPr>
        <w:t>http://nm.gsxt.gov.cn/index.html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)；</w:t>
      </w:r>
    </w:p>
    <w:p>
      <w:pPr>
        <w:numPr>
          <w:ilvl w:val="0"/>
          <w:numId w:val="0"/>
        </w:numPr>
        <w:spacing w:line="580" w:lineRule="exact"/>
        <w:ind w:left="838" w:leftChars="399"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信用中国系统里（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instrText xml:space="preserve"> HYPERLINK "http://www.creditchina.gov.cn/" </w:instrTex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eastAsia="zh-CN"/>
        </w:rPr>
        <w:t>http://www.creditchina.gov.cn/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截屏原件（加盖公章）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；中国裁判文书网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instrText xml:space="preserve"> HYPERLINK "http://wenshu.court.gov.cn/website/wenshu/181029CR4M5A62CH/index.html" </w:instrTex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http://wenshu.court.gov.cn/website/wenshu/181029CR4M5A62CH/index.html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)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企业拍卖理论研究和企业信息化管理（以下有则提供资料或说明，没有的不需提供）</w:t>
      </w:r>
    </w:p>
    <w:p>
      <w:pPr>
        <w:spacing w:line="580" w:lineRule="exact"/>
        <w:ind w:left="748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网站、微博、微信截图；企业刊物复印件；参加理论研讨会的相关证明。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企业合同制度:（以下有则提供资料或说明，没有的不需提供）</w:t>
      </w:r>
    </w:p>
    <w:p>
      <w:pPr>
        <w:spacing w:line="580" w:lineRule="exact"/>
        <w:ind w:left="748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企业管理制度；拍卖档案管理制度；统一版本《委托拍卖合同》复印件（一份）；统一版本《拍卖须知》复印件（一份）。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人员、证书:</w:t>
      </w:r>
    </w:p>
    <w:p>
      <w:pPr>
        <w:spacing w:line="580" w:lineRule="exact"/>
        <w:ind w:left="748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拍卖师证书复印件；专业人员证书复印件；荣誉证书复印件。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企业经营：</w:t>
      </w:r>
    </w:p>
    <w:p>
      <w:pPr>
        <w:spacing w:line="580" w:lineRule="exact"/>
        <w:ind w:left="748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年年报、20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Cs/>
          <w:sz w:val="28"/>
          <w:szCs w:val="28"/>
        </w:rPr>
        <w:t>年年报（《全国经营统计年报表》）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580" w:lineRule="exact"/>
        <w:ind w:left="74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社会责任：</w:t>
      </w:r>
    </w:p>
    <w:p>
      <w:pPr>
        <w:spacing w:line="580" w:lineRule="exact"/>
        <w:ind w:left="748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、20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Cs/>
          <w:sz w:val="28"/>
          <w:szCs w:val="28"/>
        </w:rPr>
        <w:t>年捐赠证明；20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、20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年慈善拍卖公告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36"/>
          <w:szCs w:val="32"/>
          <w:lang w:val="en-US" w:eastAsia="zh-CN"/>
        </w:rPr>
      </w:pPr>
    </w:p>
    <w:p>
      <w:pPr>
        <w:ind w:firstLine="562" w:firstLineChars="20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附件二：                 </w:t>
      </w:r>
      <w:r>
        <w:rPr>
          <w:rFonts w:hint="eastAsia" w:ascii="宋体" w:hAnsi="宋体"/>
          <w:b/>
          <w:bCs/>
          <w:sz w:val="28"/>
          <w:szCs w:val="28"/>
        </w:rPr>
        <w:t>承    诺    书</w:t>
      </w:r>
    </w:p>
    <w:p>
      <w:pPr>
        <w:jc w:val="center"/>
        <w:rPr>
          <w:rFonts w:eastAsia="仿宋_GB2312"/>
          <w:b/>
          <w:bCs/>
          <w:sz w:val="36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6"/>
        </w:rPr>
        <w:t xml:space="preserve">  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我单位自愿参加20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年内蒙古地区拍卖企业信用等级评定，对所报情况和资料特别声明如下：</w:t>
      </w:r>
    </w:p>
    <w:p>
      <w:pPr>
        <w:numPr>
          <w:ilvl w:val="0"/>
          <w:numId w:val="3"/>
        </w:num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所报情况、资料来源合规、合法；</w:t>
      </w:r>
    </w:p>
    <w:p>
      <w:pPr>
        <w:numPr>
          <w:ilvl w:val="0"/>
          <w:numId w:val="3"/>
        </w:num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所报情况、资料</w:t>
      </w:r>
      <w:r>
        <w:rPr>
          <w:rFonts w:hint="eastAsia" w:ascii="仿宋_GB2312" w:eastAsia="仿宋_GB2312"/>
          <w:color w:val="0070C0"/>
          <w:sz w:val="30"/>
          <w:szCs w:val="30"/>
        </w:rPr>
        <w:t>,</w:t>
      </w:r>
      <w:r>
        <w:rPr>
          <w:rFonts w:hint="eastAsia" w:ascii="仿宋_GB2312" w:eastAsia="仿宋_GB2312"/>
          <w:sz w:val="30"/>
          <w:szCs w:val="30"/>
        </w:rPr>
        <w:t>数字准确、真实；</w:t>
      </w:r>
    </w:p>
    <w:p>
      <w:pPr>
        <w:numPr>
          <w:ilvl w:val="0"/>
          <w:numId w:val="3"/>
        </w:num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所报情况、资料</w:t>
      </w:r>
      <w:r>
        <w:rPr>
          <w:rFonts w:hint="eastAsia" w:ascii="仿宋_GB2312" w:eastAsia="仿宋_GB2312"/>
          <w:color w:val="0070C0"/>
          <w:sz w:val="30"/>
          <w:szCs w:val="30"/>
        </w:rPr>
        <w:t>,</w:t>
      </w:r>
      <w:r>
        <w:rPr>
          <w:rFonts w:hint="eastAsia" w:ascii="仿宋_GB2312" w:eastAsia="仿宋_GB2312"/>
          <w:sz w:val="30"/>
          <w:szCs w:val="30"/>
        </w:rPr>
        <w:t>数字及时、完整；</w:t>
      </w:r>
    </w:p>
    <w:p>
      <w:pPr>
        <w:numPr>
          <w:ilvl w:val="0"/>
          <w:numId w:val="3"/>
        </w:num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提供相关文件和资料如有隐瞒、虚假、不实，企业愿意承担相关责任。</w: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sz w:val="32"/>
        </w:rPr>
      </w:pPr>
    </w:p>
    <w:p>
      <w:pPr>
        <w:rPr>
          <w:sz w:val="36"/>
        </w:rPr>
      </w:pPr>
    </w:p>
    <w:p>
      <w:pPr>
        <w:ind w:firstLine="3150" w:firstLineChars="1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申报单位（盖章）：</w:t>
      </w:r>
    </w:p>
    <w:p>
      <w:pPr>
        <w:ind w:firstLine="3150" w:firstLineChars="1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法人代表（签字）：</w:t>
      </w:r>
    </w:p>
    <w:p>
      <w:pPr>
        <w:ind w:firstLine="3150" w:firstLineChars="105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月   日</w:t>
      </w:r>
    </w:p>
    <w:p>
      <w:pPr>
        <w:pStyle w:val="10"/>
        <w:ind w:firstLine="600" w:firstLineChars="0"/>
        <w:rPr>
          <w:rFonts w:ascii="仿宋_GB2312" w:hAnsi="华文仿宋" w:eastAsia="仿宋_GB2312"/>
          <w:sz w:val="30"/>
          <w:szCs w:val="30"/>
        </w:rPr>
      </w:pPr>
    </w:p>
    <w:p>
      <w:pPr>
        <w:pStyle w:val="10"/>
        <w:ind w:firstLine="600" w:firstLineChars="0"/>
        <w:rPr>
          <w:rFonts w:ascii="仿宋_GB2312" w:hAnsi="华文仿宋" w:eastAsia="仿宋_GB2312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附件三：      2022</w:t>
      </w:r>
      <w:r>
        <w:rPr>
          <w:rFonts w:hint="eastAsia" w:ascii="宋体" w:hAnsi="宋体"/>
          <w:b/>
          <w:kern w:val="0"/>
          <w:sz w:val="28"/>
          <w:szCs w:val="28"/>
        </w:rPr>
        <w:t>年内蒙古拍卖企业信用等级评定申报表</w:t>
      </w:r>
    </w:p>
    <w:p>
      <w:pPr>
        <w:rPr>
          <w:rFonts w:ascii="华文仿宋" w:hAnsi="华文仿宋" w:eastAsia="华文仿宋"/>
          <w:kern w:val="0"/>
        </w:rPr>
      </w:pP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96"/>
        <w:gridCol w:w="434"/>
        <w:gridCol w:w="812"/>
        <w:gridCol w:w="239"/>
        <w:gridCol w:w="1052"/>
        <w:gridCol w:w="149"/>
        <w:gridCol w:w="1231"/>
        <w:gridCol w:w="1185"/>
        <w:gridCol w:w="42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传真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网站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 经 理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企业成立时间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注册资金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企业主要资质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内拍协荣誉资质</w:t>
            </w: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  <w:r>
              <w:rPr>
                <w:rFonts w:hint="eastAsia" w:ascii="宋体" w:hAnsi="宋体"/>
                <w:szCs w:val="21"/>
              </w:rPr>
              <w:t xml:space="preserve">：_____________________________________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社会评价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工商无违规记录：              检察院无</w:t>
            </w:r>
            <w:r>
              <w:rPr>
                <w:rFonts w:hint="eastAsia" w:ascii="宋体" w:hAnsi="宋体"/>
                <w:szCs w:val="21"/>
                <w:lang w:eastAsia="zh-CN"/>
              </w:rPr>
              <w:t>行贿</w:t>
            </w:r>
            <w:r>
              <w:rPr>
                <w:rFonts w:hint="eastAsia" w:ascii="宋体" w:hAnsi="宋体"/>
                <w:szCs w:val="21"/>
              </w:rPr>
              <w:t>犯罪记录：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主要人员证书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拍卖师: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高管: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估价师: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人  </w:t>
            </w:r>
            <w:r>
              <w:rPr>
                <w:rFonts w:hint="eastAsia" w:ascii="宋体" w:hAnsi="宋体"/>
                <w:szCs w:val="21"/>
                <w:lang w:eastAsia="zh-CN"/>
              </w:rPr>
              <w:t>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估</w:t>
            </w:r>
            <w:r>
              <w:rPr>
                <w:rFonts w:hint="eastAsia" w:ascii="宋体" w:hAnsi="宋体"/>
                <w:szCs w:val="21"/>
              </w:rPr>
              <w:t>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申报企业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负责人签字：      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申报日期：    年    月   日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评定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小组</w:t>
            </w: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年    月   日</w:t>
            </w:r>
          </w:p>
        </w:tc>
      </w:tr>
    </w:tbl>
    <w:p>
      <w:pPr>
        <w:ind w:firstLine="281" w:firstLineChars="1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附件四：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年内蒙古拍卖企业信用等级评定自评表</w:t>
      </w:r>
    </w:p>
    <w:tbl>
      <w:tblPr>
        <w:tblStyle w:val="4"/>
        <w:tblpPr w:leftFromText="180" w:rightFromText="180" w:vertAnchor="text" w:horzAnchor="page" w:tblpX="1380" w:tblpY="243"/>
        <w:tblOverlap w:val="never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4"/>
        <w:gridCol w:w="3333"/>
        <w:gridCol w:w="540"/>
        <w:gridCol w:w="8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333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核查分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24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拍卖企业主体合法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拍卖师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3人以上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办公与经营场所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有租赁固定经营办公场所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拥有自有固定办公经营场所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年拍卖成交总额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10万元（含）至100万元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100万元（含）至300万元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300万元（含）至500万元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500万元（含）至1000万元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1000万元（含）至2000万元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2000万元（含）至3000万元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3000万元以上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捐赠（含义拍和捐款）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1000元以下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1000-5000元以上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5000元以上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年拍卖佣金收入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1万元（含）至10万元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10万元（含）至30万元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30万元（含）至50万元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50万元（含）至100万元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100万元（含）以上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年纳税总额（各项税收之和）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年拍卖成交场次，（不含流拍）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拍卖成交场次5次以下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拍卖成交场次5次（含）至10次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拍卖成交场次10次（含）以上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拍卖理论研究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在自治区拍协刊物上刊发过文章，或参加过自治区拍协理论研讨会的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在中拍协或国家相关刊物上刊发过文章，或参加过本行业理论研讨会的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信息化管理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会计电算化、计算机管理拍卖档案，拥有企业网站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管理制度、工作流程与业务规则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基本具备符合业务需要的人事、财务、业务管理制度和符合《拍卖法》及相关法律法规的工作流程、业务规则并按要求上墙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完全具备符合业务需要的人事、财务、业务管理制度和符合《拍卖法》及相关法律法规的工作流程、业务规则并按要求上墙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依法经营规范运作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按照《拍卖法》及相关法律法规组织拍卖活动，企业无不良记录,</w:t>
            </w:r>
          </w:p>
          <w:p>
            <w:r>
              <w:rPr>
                <w:rFonts w:hint="eastAsia"/>
              </w:rPr>
              <w:t>无恶意竞争记录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上年度获得中拍协</w:t>
            </w:r>
            <w:r>
              <w:rPr>
                <w:rFonts w:hint="eastAsia"/>
                <w:lang w:eastAsia="zh-CN"/>
              </w:rPr>
              <w:t>评定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AAA级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行业评价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遵守协会章程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按时交纳会费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按时报送统计报表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积极参加协会会议、培训、活动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参加协会专业工作部活动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加入行业自律公约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对协会工作、行业发展有重大贡献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社会评价</w:t>
            </w:r>
          </w:p>
        </w:tc>
        <w:tc>
          <w:tcPr>
            <w:tcW w:w="3333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中国裁判文书网，社会投诉少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国家企业信用信息公示系统http://nm.gsxt.gov.cn/index.html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信用中国系统里有无违规记录http://www.creditchina.gov.cn/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十七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全国拍卖行业管理信息系统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评定</w:t>
            </w:r>
            <w:r>
              <w:rPr>
                <w:rFonts w:hint="eastAsia"/>
              </w:rPr>
              <w:t>期限内两年报送16个月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评定</w:t>
            </w:r>
            <w:r>
              <w:rPr>
                <w:rFonts w:hint="eastAsia"/>
              </w:rPr>
              <w:t>期限内两年报送20个月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评定</w:t>
            </w:r>
            <w:r>
              <w:rPr>
                <w:rFonts w:hint="eastAsia"/>
              </w:rPr>
              <w:t>期限内两年报送24个月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十八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分数合计</w:t>
            </w:r>
          </w:p>
        </w:tc>
        <w:tc>
          <w:tcPr>
            <w:tcW w:w="3333" w:type="dxa"/>
            <w:vAlign w:val="center"/>
          </w:tcPr>
          <w:p/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</w:p>
    <w:p/>
    <w:p>
      <w:pPr>
        <w:ind w:firstLine="630" w:firstLineChars="300"/>
      </w:pPr>
      <w:r>
        <w:rPr>
          <w:rFonts w:hint="eastAsia"/>
        </w:rPr>
        <w:t>企业负责人：                                        审核人员：</w:t>
      </w:r>
    </w:p>
    <w:p>
      <w:r>
        <w:rPr>
          <w:rFonts w:hint="eastAsia"/>
        </w:rPr>
        <w:t xml:space="preserve">                                                         </w:t>
      </w:r>
    </w:p>
    <w:p>
      <w:pPr>
        <w:ind w:firstLine="7770" w:firstLineChars="3700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</w:rPr>
        <w:t xml:space="preserve">  年    月    日</w:t>
      </w:r>
    </w:p>
    <w:p>
      <w:pPr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注：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AAAAA级拍卖企业综合得分最低限为90分（含）。</w:t>
      </w:r>
    </w:p>
    <w:p>
      <w:pPr>
        <w:tabs>
          <w:tab w:val="left" w:pos="403"/>
        </w:tabs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AAAA级拍卖企业综合得分最低限为80分（含）。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AAA级拍卖企业综合得分最低限为70分（含）。</w:t>
      </w:r>
    </w:p>
    <w:p>
      <w:pPr>
        <w:tabs>
          <w:tab w:val="left" w:pos="499"/>
        </w:tabs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AA级拍卖企业综合得分最低限为60分（含）。</w:t>
      </w:r>
    </w:p>
    <w:p>
      <w:pPr>
        <w:ind w:firstLine="1400" w:firstLineChars="5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A级拍卖企业综合得分最低限为50分（含）。</w:t>
      </w:r>
    </w:p>
    <w:p>
      <w:pP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b/>
          <w:sz w:val="36"/>
          <w:szCs w:val="36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856B3"/>
    <w:multiLevelType w:val="singleLevel"/>
    <w:tmpl w:val="A458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2">
    <w:nsid w:val="6E910CFD"/>
    <w:multiLevelType w:val="multilevel"/>
    <w:tmpl w:val="6E910CFD"/>
    <w:lvl w:ilvl="0" w:tentative="0">
      <w:start w:val="1"/>
      <w:numFmt w:val="japaneseCounting"/>
      <w:lvlText w:val="%1、"/>
      <w:lvlJc w:val="left"/>
      <w:pPr>
        <w:ind w:left="750" w:hanging="750"/>
      </w:pPr>
      <w:rPr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DQ3NzA2OGQxMmVlNDdjNjg2ODFiMGJhOTJhYTIifQ=="/>
  </w:docVars>
  <w:rsids>
    <w:rsidRoot w:val="16F4148E"/>
    <w:rsid w:val="001A64C4"/>
    <w:rsid w:val="07996868"/>
    <w:rsid w:val="16F4148E"/>
    <w:rsid w:val="194F6411"/>
    <w:rsid w:val="24DC0060"/>
    <w:rsid w:val="26330B79"/>
    <w:rsid w:val="2F4B0A07"/>
    <w:rsid w:val="31496E60"/>
    <w:rsid w:val="3E343970"/>
    <w:rsid w:val="40EB509E"/>
    <w:rsid w:val="41A76F9F"/>
    <w:rsid w:val="53B16368"/>
    <w:rsid w:val="53ED0C88"/>
    <w:rsid w:val="54493DF7"/>
    <w:rsid w:val="70625108"/>
    <w:rsid w:val="72D400E1"/>
    <w:rsid w:val="735E6C89"/>
    <w:rsid w:val="7B296576"/>
    <w:rsid w:val="7FAF0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2802</Words>
  <Characters>3287</Characters>
  <Lines>0</Lines>
  <Paragraphs>0</Paragraphs>
  <TotalTime>66</TotalTime>
  <ScaleCrop>false</ScaleCrop>
  <LinksUpToDate>false</LinksUpToDate>
  <CharactersWithSpaces>3676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2020-07-10T02:16:00Z</dcterms:created>
  <dc:creator>楠楠</dc:creator>
  <cp:lastModifiedBy>楠楠</cp:lastModifiedBy>
  <cp:lastPrinted>2020-08-05T07:18:00Z</cp:lastPrinted>
  <dcterms:modified xsi:type="dcterms:W3CDTF">2022-09-14T07:59:39Z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5A6E724D5BC747F2B2701A10AFB159F8</vt:lpwstr>
  </property>
</Properties>
</file>